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C27D" w14:textId="77777777" w:rsidR="00B830E3" w:rsidRDefault="00B830E3" w:rsidP="00B83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44B8F327" w14:textId="77777777" w:rsidR="00B830E3" w:rsidRDefault="00B830E3" w:rsidP="00B83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14:paraId="0654EC6C" w14:textId="77777777" w:rsidR="00B830E3" w:rsidRDefault="00B830E3" w:rsidP="00B83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14:paraId="02FEA921" w14:textId="66883B32" w:rsidR="00B830E3" w:rsidRDefault="00B830E3" w:rsidP="00B830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</w:t>
      </w:r>
      <w:r w:rsidR="00E14E3F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3F">
        <w:rPr>
          <w:rFonts w:ascii="Times New Roman" w:eastAsia="Calibri" w:hAnsi="Times New Roman" w:cs="Times New Roman"/>
          <w:b/>
          <w:sz w:val="24"/>
          <w:szCs w:val="24"/>
        </w:rPr>
        <w:t xml:space="preserve">muzej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Novalja</w:t>
      </w:r>
    </w:p>
    <w:p w14:paraId="6F2FEDB4" w14:textId="504F9CF7" w:rsidR="00EC76D8" w:rsidRPr="00E809A9" w:rsidRDefault="00E809A9" w:rsidP="00B83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C76D8">
        <w:rPr>
          <w:rFonts w:ascii="Times New Roman" w:eastAsia="Calibri" w:hAnsi="Times New Roman" w:cs="Times New Roman"/>
          <w:sz w:val="24"/>
          <w:szCs w:val="24"/>
        </w:rPr>
        <w:t>400-02/25-01/01</w:t>
      </w:r>
    </w:p>
    <w:p w14:paraId="02F10695" w14:textId="466AA231" w:rsidR="00B830E3" w:rsidRPr="00E809A9" w:rsidRDefault="00E809A9" w:rsidP="00B83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>URBROJ:</w:t>
      </w:r>
      <w:r w:rsidR="00EC76D8">
        <w:rPr>
          <w:rFonts w:ascii="Times New Roman" w:eastAsia="Calibri" w:hAnsi="Times New Roman" w:cs="Times New Roman"/>
          <w:sz w:val="24"/>
          <w:szCs w:val="24"/>
        </w:rPr>
        <w:t>2125-6-1-25-01</w:t>
      </w:r>
      <w:r w:rsidRPr="00E809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96286A" w14:textId="77777777" w:rsidR="00B830E3" w:rsidRDefault="00E809A9" w:rsidP="00B83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Novalja, 05</w:t>
      </w:r>
      <w:r w:rsidR="00B830E3">
        <w:rPr>
          <w:rFonts w:ascii="Times New Roman" w:eastAsia="Calibri" w:hAnsi="Times New Roman" w:cs="Times New Roman"/>
          <w:sz w:val="24"/>
          <w:szCs w:val="24"/>
        </w:rPr>
        <w:t xml:space="preserve">. ožujka 2025.    </w:t>
      </w:r>
    </w:p>
    <w:p w14:paraId="629963BE" w14:textId="77777777" w:rsidR="00B830E3" w:rsidRDefault="00B830E3" w:rsidP="00B83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45CE5" w14:textId="77777777" w:rsidR="00B830E3" w:rsidRDefault="00B830E3" w:rsidP="00B830E3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3BC941C" w14:textId="77777777" w:rsidR="00B830E3" w:rsidRDefault="00B830E3" w:rsidP="00B830E3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AC4A0" w14:textId="472069A6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05A37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 Statuta Gradsk</w:t>
      </w:r>
      <w:r w:rsidR="00705A37">
        <w:rPr>
          <w:rFonts w:ascii="Times New Roman" w:eastAsia="Calibri" w:hAnsi="Times New Roman" w:cs="Times New Roman"/>
          <w:sz w:val="24"/>
          <w:szCs w:val="24"/>
        </w:rPr>
        <w:t>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A37">
        <w:rPr>
          <w:rFonts w:ascii="Times New Roman" w:eastAsia="Calibri" w:hAnsi="Times New Roman" w:cs="Times New Roman"/>
          <w:sz w:val="24"/>
          <w:szCs w:val="24"/>
        </w:rPr>
        <w:t xml:space="preserve">muzeja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Novalja, </w:t>
      </w:r>
      <w:r w:rsidR="00705A37">
        <w:rPr>
          <w:rFonts w:ascii="Times New Roman" w:eastAsia="Calibri" w:hAnsi="Times New Roman" w:cs="Times New Roman"/>
          <w:sz w:val="24"/>
          <w:szCs w:val="24"/>
        </w:rPr>
        <w:t xml:space="preserve">privremeni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ravnatelj</w:t>
      </w:r>
      <w:r w:rsidR="00705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2AA5E86C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D236D9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F04D6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97610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30200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0B10F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B57E6A" w14:textId="77777777" w:rsidR="00B830E3" w:rsidRDefault="00B830E3" w:rsidP="00B830E3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BF8CEA" w14:textId="77777777" w:rsidR="00B830E3" w:rsidRDefault="00B830E3" w:rsidP="00B830E3">
      <w:pPr>
        <w:spacing w:after="0" w:line="240" w:lineRule="auto"/>
      </w:pPr>
    </w:p>
    <w:p w14:paraId="628DAFC4" w14:textId="2F3374A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GODIŠNJI IZVJEŠTAJ O IZVRŠENJU FINANCIJSKOG PLANA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GRADSK</w:t>
      </w:r>
      <w:r w:rsidR="00705A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 MUZEJA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NOVALJA ZA 2024. GODINU</w:t>
      </w:r>
    </w:p>
    <w:p w14:paraId="709CEC55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237BEE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562777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34B714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60529B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4DE412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333F43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0EB412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1F025C" w14:textId="77777777" w:rsidR="00E809A9" w:rsidRDefault="00E809A9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AA6BE0" w14:textId="77777777" w:rsidR="00E809A9" w:rsidRDefault="00E809A9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F92BCA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11E628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B77D72" w14:textId="77777777" w:rsidR="00B830E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54745B" w14:textId="77777777" w:rsidR="00B830E3" w:rsidRPr="003F61B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1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I.  OPĆI DIO</w:t>
      </w:r>
    </w:p>
    <w:p w14:paraId="4D0076CA" w14:textId="77777777" w:rsidR="00B830E3" w:rsidRPr="003F61B3" w:rsidRDefault="00B830E3" w:rsidP="00B830E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9F1E9" w14:textId="77777777" w:rsidR="00B830E3" w:rsidRPr="001F18A3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18A3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352238E8" w14:textId="77777777" w:rsidR="00B830E3" w:rsidRPr="001F18A3" w:rsidRDefault="00B830E3" w:rsidP="00B830E3">
      <w:pPr>
        <w:pStyle w:val="Odlomakpopisa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F18A3">
        <w:rPr>
          <w:rFonts w:ascii="Times New Roman" w:eastAsia="Calibri" w:hAnsi="Times New Roman" w:cs="Times New Roman"/>
          <w:sz w:val="24"/>
          <w:szCs w:val="24"/>
        </w:rPr>
        <w:t>Ostvarenje prihoda i rashoda iskazano je kroz opći dio izvještaja. Opći dio sadržaja sadrži račun prihoda i rashoda, račun zaduživanja/financiranja i raspoloživa sredstva iz prethodnih godina</w:t>
      </w:r>
    </w:p>
    <w:p w14:paraId="7CEDFE22" w14:textId="77777777" w:rsidR="00B830E3" w:rsidRDefault="00B830E3" w:rsidP="00B830E3">
      <w:pPr>
        <w:pStyle w:val="Odlomakpopisa"/>
        <w:ind w:left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13B6718" w14:textId="77777777" w:rsidR="00E809A9" w:rsidRPr="00B830E3" w:rsidRDefault="00E809A9" w:rsidP="00B830E3">
      <w:pPr>
        <w:pStyle w:val="Odlomakpopisa"/>
        <w:ind w:left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486B0EE" w14:textId="77777777" w:rsidR="00E809A9" w:rsidRDefault="00E809A9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73807E70" w14:textId="0F049559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  <w:r w:rsidRPr="00345091">
        <w:rPr>
          <w:noProof/>
        </w:rPr>
        <w:drawing>
          <wp:inline distT="0" distB="0" distL="0" distR="0" wp14:anchorId="19DB0DE4" wp14:editId="27783FE5">
            <wp:extent cx="9726930" cy="3838575"/>
            <wp:effectExtent l="0" t="0" r="7620" b="9525"/>
            <wp:docPr id="18491162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81" cy="38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B4B7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2CCCDA91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241359EF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36AB5D4E" w14:textId="009B6D05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  <w:r w:rsidRPr="00345091">
        <w:rPr>
          <w:noProof/>
        </w:rPr>
        <w:lastRenderedPageBreak/>
        <w:drawing>
          <wp:inline distT="0" distB="0" distL="0" distR="0" wp14:anchorId="3128340E" wp14:editId="58174666">
            <wp:extent cx="9448800" cy="6932376"/>
            <wp:effectExtent l="0" t="0" r="0" b="1905"/>
            <wp:docPr id="105667209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708" cy="696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029A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75282753" w14:textId="57C8E629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  <w:r w:rsidRPr="00345091">
        <w:rPr>
          <w:noProof/>
        </w:rPr>
        <w:drawing>
          <wp:inline distT="0" distB="0" distL="0" distR="0" wp14:anchorId="305A9C41" wp14:editId="1C54DBCA">
            <wp:extent cx="9310370" cy="2476500"/>
            <wp:effectExtent l="0" t="0" r="5080" b="0"/>
            <wp:docPr id="35094394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773" cy="24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5AE0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0F9A2ED8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111780B8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389EE320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2CC78524" w14:textId="77777777" w:rsidR="00345091" w:rsidRDefault="00345091" w:rsidP="00B830E3">
      <w:pPr>
        <w:rPr>
          <w:rFonts w:ascii="Times New Roman" w:eastAsia="Calibri" w:hAnsi="Times New Roman" w:cs="Times New Roman"/>
          <w:b/>
          <w:szCs w:val="24"/>
        </w:rPr>
      </w:pPr>
    </w:p>
    <w:p w14:paraId="514745A4" w14:textId="77777777" w:rsidR="006A6DB0" w:rsidRPr="00B830E3" w:rsidRDefault="006A6DB0" w:rsidP="00B830E3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64789F5" w14:textId="77777777" w:rsidR="00B830E3" w:rsidRDefault="00B830E3" w:rsidP="00B830E3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C2A8398" w14:textId="0CA840E9" w:rsidR="00B830E3" w:rsidRDefault="00345091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45091">
        <w:rPr>
          <w:noProof/>
        </w:rPr>
        <w:lastRenderedPageBreak/>
        <w:drawing>
          <wp:inline distT="0" distB="0" distL="0" distR="0" wp14:anchorId="68F18E9B" wp14:editId="1132FD35">
            <wp:extent cx="8892540" cy="3914775"/>
            <wp:effectExtent l="0" t="0" r="3810" b="9525"/>
            <wp:docPr id="14648600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72926" w14:textId="77777777" w:rsidR="00E809A9" w:rsidRDefault="00E809A9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BC262DB" w14:textId="77777777" w:rsidR="00E809A9" w:rsidRDefault="00E809A9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B575368" w14:textId="77777777" w:rsidR="001F18A3" w:rsidRDefault="001F18A3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027B3B2" w14:textId="77777777" w:rsidR="00B830E3" w:rsidRPr="00B830E3" w:rsidRDefault="00B830E3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E257154" w14:textId="77777777" w:rsidR="00B830E3" w:rsidRPr="003056E5" w:rsidRDefault="00B830E3" w:rsidP="00B830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56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POSEBNI DIO </w:t>
      </w:r>
    </w:p>
    <w:p w14:paraId="5D799029" w14:textId="77777777" w:rsidR="00B830E3" w:rsidRDefault="00B830E3" w:rsidP="00B830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56E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B9C5D46" w14:textId="77777777" w:rsidR="00E809A9" w:rsidRPr="003056E5" w:rsidRDefault="00E809A9" w:rsidP="00B830E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B2FAE1" w14:textId="77777777" w:rsidR="00B830E3" w:rsidRDefault="00B830E3" w:rsidP="00B830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56E5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izvršenja prikazan je kroz pregled prihoda i primitaka te r</w:t>
      </w:r>
      <w:r w:rsidR="00C657A8">
        <w:rPr>
          <w:rFonts w:ascii="Times New Roman" w:eastAsia="Times New Roman" w:hAnsi="Times New Roman" w:cs="Times New Roman"/>
          <w:sz w:val="24"/>
          <w:szCs w:val="24"/>
          <w:lang w:eastAsia="hr-HR"/>
        </w:rPr>
        <w:t>ashoda i izdataka kako slijedi:</w:t>
      </w:r>
    </w:p>
    <w:p w14:paraId="5312102A" w14:textId="11AFCD55" w:rsidR="00E809A9" w:rsidRDefault="00345091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345091">
        <w:rPr>
          <w:noProof/>
        </w:rPr>
        <w:lastRenderedPageBreak/>
        <w:drawing>
          <wp:inline distT="0" distB="0" distL="0" distR="0" wp14:anchorId="73BDC1ED" wp14:editId="2A7889F6">
            <wp:extent cx="8892540" cy="2152650"/>
            <wp:effectExtent l="0" t="0" r="3810" b="0"/>
            <wp:docPr id="120390272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0428" w14:textId="77777777" w:rsidR="00E809A9" w:rsidRDefault="00E809A9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9C357C2" w14:textId="77777777" w:rsidR="00E809A9" w:rsidRDefault="00E809A9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60A9699" w14:textId="77777777" w:rsidR="00E809A9" w:rsidRDefault="00E809A9" w:rsidP="00B830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770D045" w14:textId="77777777" w:rsidR="00E809A9" w:rsidRDefault="00E809A9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687BC16B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25DF2383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5C3B8E65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6FB6C3CD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1661CD88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1B72F013" w14:textId="77777777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39AC67BE" w14:textId="0DAADDEF" w:rsidR="00345091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  <w:r w:rsidRPr="00345091">
        <w:rPr>
          <w:noProof/>
        </w:rPr>
        <w:lastRenderedPageBreak/>
        <w:drawing>
          <wp:inline distT="0" distB="0" distL="0" distR="0" wp14:anchorId="257EA2F8" wp14:editId="4E66CC06">
            <wp:extent cx="7829550" cy="6594183"/>
            <wp:effectExtent l="0" t="0" r="0" b="0"/>
            <wp:docPr id="169060993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104" cy="66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7325E" w14:textId="77777777" w:rsidR="00345091" w:rsidRPr="00B830E3" w:rsidRDefault="00345091" w:rsidP="006A6DB0">
      <w:pPr>
        <w:ind w:right="-1276"/>
        <w:rPr>
          <w:rFonts w:ascii="Times New Roman" w:hAnsi="Times New Roman" w:cs="Times New Roman"/>
          <w:color w:val="FF0000"/>
        </w:rPr>
      </w:pPr>
    </w:p>
    <w:p w14:paraId="6DF2E7DE" w14:textId="77777777" w:rsidR="00B830E3" w:rsidRPr="006A6DB0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DB0">
        <w:rPr>
          <w:rFonts w:ascii="Times New Roman" w:eastAsia="Calibri" w:hAnsi="Times New Roman" w:cs="Times New Roman"/>
          <w:sz w:val="24"/>
          <w:szCs w:val="24"/>
        </w:rPr>
        <w:t>IZVJEŠTAJ</w:t>
      </w:r>
    </w:p>
    <w:p w14:paraId="1AB612B5" w14:textId="77777777" w:rsidR="00B830E3" w:rsidRPr="006A6DB0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DB0">
        <w:rPr>
          <w:rFonts w:ascii="Times New Roman" w:eastAsia="Calibri" w:hAnsi="Times New Roman" w:cs="Times New Roman"/>
          <w:sz w:val="24"/>
          <w:szCs w:val="24"/>
        </w:rPr>
        <w:t>O IZVRŠENJU FINANCIJSKOG PLANA</w:t>
      </w:r>
    </w:p>
    <w:p w14:paraId="55F86253" w14:textId="491182B8" w:rsidR="00B830E3" w:rsidRPr="006A6DB0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DB0">
        <w:rPr>
          <w:rFonts w:ascii="Times New Roman" w:eastAsia="Calibri" w:hAnsi="Times New Roman" w:cs="Times New Roman"/>
          <w:sz w:val="24"/>
          <w:szCs w:val="24"/>
        </w:rPr>
        <w:t>G</w:t>
      </w:r>
      <w:r w:rsidR="006A6DB0">
        <w:rPr>
          <w:rFonts w:ascii="Times New Roman" w:eastAsia="Calibri" w:hAnsi="Times New Roman" w:cs="Times New Roman"/>
          <w:sz w:val="24"/>
          <w:szCs w:val="24"/>
        </w:rPr>
        <w:t>RADSK</w:t>
      </w:r>
      <w:r w:rsidR="00345091">
        <w:rPr>
          <w:rFonts w:ascii="Times New Roman" w:eastAsia="Calibri" w:hAnsi="Times New Roman" w:cs="Times New Roman"/>
          <w:sz w:val="24"/>
          <w:szCs w:val="24"/>
        </w:rPr>
        <w:t xml:space="preserve">OG MUZEJA </w:t>
      </w:r>
      <w:r w:rsidR="006A6DB0">
        <w:rPr>
          <w:rFonts w:ascii="Times New Roman" w:eastAsia="Calibri" w:hAnsi="Times New Roman" w:cs="Times New Roman"/>
          <w:sz w:val="24"/>
          <w:szCs w:val="24"/>
        </w:rPr>
        <w:t xml:space="preserve"> NOVALJA ZA 2024</w:t>
      </w:r>
      <w:r w:rsidRPr="006A6DB0"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34E0E950" w14:textId="77777777" w:rsidR="00B830E3" w:rsidRPr="006A6DB0" w:rsidRDefault="00B830E3" w:rsidP="00B830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36FC4" w14:textId="77777777" w:rsidR="00B830E3" w:rsidRPr="006A6DB0" w:rsidRDefault="00B830E3" w:rsidP="00B830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C3738B" w14:textId="6A18E878" w:rsidR="00B830E3" w:rsidRPr="006A6DB0" w:rsidRDefault="00B830E3" w:rsidP="00B830E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6DB0">
        <w:rPr>
          <w:rFonts w:ascii="Times New Roman" w:eastAsia="Calibri" w:hAnsi="Times New Roman" w:cs="Times New Roman"/>
          <w:sz w:val="24"/>
          <w:szCs w:val="24"/>
        </w:rPr>
        <w:t xml:space="preserve">Odredbama članka 76.-86. Zakona o proračunu ("Narodne novine" broj 144/21) i  članka 4.-12.,16.,17. i 19. Pravilnika o polugodišnjem i godišnjem izvještaju o izvršenju proračuna ("Narodne novine" broj 24/13., 102/17., 1/20. i 147/20.) i članka </w:t>
      </w:r>
      <w:r w:rsidR="00345091">
        <w:rPr>
          <w:rFonts w:ascii="Times New Roman" w:eastAsia="Calibri" w:hAnsi="Times New Roman" w:cs="Times New Roman"/>
          <w:sz w:val="24"/>
          <w:szCs w:val="24"/>
        </w:rPr>
        <w:t>18</w:t>
      </w:r>
      <w:r w:rsidRPr="006A6DB0">
        <w:rPr>
          <w:rFonts w:ascii="Times New Roman" w:eastAsia="Calibri" w:hAnsi="Times New Roman" w:cs="Times New Roman"/>
          <w:sz w:val="24"/>
          <w:szCs w:val="24"/>
        </w:rPr>
        <w:t>. Statuta Gradsk</w:t>
      </w:r>
      <w:r w:rsidR="00345091">
        <w:rPr>
          <w:rFonts w:ascii="Times New Roman" w:eastAsia="Calibri" w:hAnsi="Times New Roman" w:cs="Times New Roman"/>
          <w:sz w:val="24"/>
          <w:szCs w:val="24"/>
        </w:rPr>
        <w:t xml:space="preserve">og </w:t>
      </w:r>
      <w:r w:rsidRPr="006A6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091">
        <w:rPr>
          <w:rFonts w:ascii="Times New Roman" w:eastAsia="Calibri" w:hAnsi="Times New Roman" w:cs="Times New Roman"/>
          <w:sz w:val="24"/>
          <w:szCs w:val="24"/>
        </w:rPr>
        <w:t xml:space="preserve">muzeja </w:t>
      </w:r>
      <w:r w:rsidRPr="006A6DB0">
        <w:rPr>
          <w:rFonts w:ascii="Times New Roman" w:eastAsia="Calibri" w:hAnsi="Times New Roman" w:cs="Times New Roman"/>
          <w:sz w:val="24"/>
          <w:szCs w:val="24"/>
        </w:rPr>
        <w:t xml:space="preserve"> Novalja, sastavljen je Godišnji izvještaj o izvršenju fina</w:t>
      </w:r>
      <w:r w:rsidR="006A5F61">
        <w:rPr>
          <w:rFonts w:ascii="Times New Roman" w:eastAsia="Calibri" w:hAnsi="Times New Roman" w:cs="Times New Roman"/>
          <w:sz w:val="24"/>
          <w:szCs w:val="24"/>
        </w:rPr>
        <w:t xml:space="preserve">ncijskog plana </w:t>
      </w:r>
      <w:r w:rsidR="00345091">
        <w:rPr>
          <w:rFonts w:ascii="Times New Roman" w:eastAsia="Calibri" w:hAnsi="Times New Roman" w:cs="Times New Roman"/>
          <w:sz w:val="24"/>
          <w:szCs w:val="24"/>
        </w:rPr>
        <w:t xml:space="preserve">Muzeja </w:t>
      </w:r>
      <w:r w:rsidR="006A5F61">
        <w:rPr>
          <w:rFonts w:ascii="Times New Roman" w:eastAsia="Calibri" w:hAnsi="Times New Roman" w:cs="Times New Roman"/>
          <w:sz w:val="24"/>
          <w:szCs w:val="24"/>
        </w:rPr>
        <w:t xml:space="preserve"> za 2024</w:t>
      </w:r>
      <w:r w:rsidRPr="006A6DB0">
        <w:rPr>
          <w:rFonts w:ascii="Times New Roman" w:eastAsia="Calibri" w:hAnsi="Times New Roman" w:cs="Times New Roman"/>
          <w:sz w:val="24"/>
          <w:szCs w:val="24"/>
        </w:rPr>
        <w:t>. godinu.</w:t>
      </w:r>
      <w:r w:rsidRPr="006A6DB0">
        <w:rPr>
          <w:rFonts w:ascii="Times New Roman" w:eastAsia="Calibri" w:hAnsi="Times New Roman" w:cs="Times New Roman"/>
          <w:sz w:val="24"/>
          <w:szCs w:val="24"/>
        </w:rPr>
        <w:tab/>
      </w:r>
      <w:r w:rsidRPr="006A6DB0">
        <w:rPr>
          <w:rFonts w:ascii="Times New Roman" w:eastAsia="Calibri" w:hAnsi="Times New Roman" w:cs="Times New Roman"/>
          <w:sz w:val="24"/>
          <w:szCs w:val="24"/>
        </w:rPr>
        <w:tab/>
      </w:r>
      <w:r w:rsidRPr="006A6DB0">
        <w:rPr>
          <w:rFonts w:ascii="Times New Roman" w:eastAsia="Calibri" w:hAnsi="Times New Roman" w:cs="Times New Roman"/>
          <w:sz w:val="24"/>
          <w:szCs w:val="24"/>
        </w:rPr>
        <w:tab/>
      </w:r>
      <w:r w:rsidRPr="006A6DB0">
        <w:rPr>
          <w:rFonts w:ascii="Times New Roman" w:eastAsia="Calibri" w:hAnsi="Times New Roman" w:cs="Times New Roman"/>
          <w:sz w:val="24"/>
          <w:szCs w:val="24"/>
        </w:rPr>
        <w:tab/>
      </w:r>
      <w:r w:rsidRPr="006A6DB0">
        <w:rPr>
          <w:rFonts w:ascii="Times New Roman" w:eastAsia="Calibri" w:hAnsi="Times New Roman" w:cs="Times New Roman"/>
          <w:sz w:val="24"/>
          <w:szCs w:val="24"/>
        </w:rPr>
        <w:tab/>
      </w:r>
    </w:p>
    <w:p w14:paraId="4D345DF5" w14:textId="77777777" w:rsidR="00B830E3" w:rsidRPr="006A6DB0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D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FE1D84" w14:textId="476729D7" w:rsidR="00B830E3" w:rsidRPr="006A5F61" w:rsidRDefault="00B830E3" w:rsidP="00AC57DA">
      <w:pPr>
        <w:spacing w:after="12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731497">
        <w:rPr>
          <w:rFonts w:ascii="Times New Roman" w:eastAsia="Calibri" w:hAnsi="Times New Roman" w:cs="Times New Roman"/>
          <w:sz w:val="24"/>
          <w:szCs w:val="24"/>
        </w:rPr>
        <w:t xml:space="preserve">U izvještajnom razdoblju </w:t>
      </w:r>
      <w:r w:rsidR="00345091">
        <w:rPr>
          <w:rFonts w:ascii="Times New Roman" w:eastAsia="Calibri" w:hAnsi="Times New Roman" w:cs="Times New Roman"/>
          <w:sz w:val="24"/>
          <w:szCs w:val="24"/>
        </w:rPr>
        <w:t xml:space="preserve">Muzej </w:t>
      </w:r>
      <w:r w:rsidRPr="00731497">
        <w:rPr>
          <w:rFonts w:ascii="Times New Roman" w:eastAsia="Calibri" w:hAnsi="Times New Roman" w:cs="Times New Roman"/>
          <w:sz w:val="24"/>
          <w:szCs w:val="24"/>
        </w:rPr>
        <w:t xml:space="preserve"> je ostvari</w:t>
      </w:r>
      <w:r w:rsidR="00AC57DA">
        <w:rPr>
          <w:rFonts w:ascii="Times New Roman" w:eastAsia="Calibri" w:hAnsi="Times New Roman" w:cs="Times New Roman"/>
          <w:sz w:val="24"/>
          <w:szCs w:val="24"/>
        </w:rPr>
        <w:t>o</w:t>
      </w:r>
      <w:r w:rsidRPr="00731497">
        <w:rPr>
          <w:rFonts w:ascii="Times New Roman" w:eastAsia="Calibri" w:hAnsi="Times New Roman" w:cs="Times New Roman"/>
          <w:sz w:val="24"/>
          <w:szCs w:val="24"/>
        </w:rPr>
        <w:t xml:space="preserve"> ukupne prihode u iznosu od</w:t>
      </w:r>
      <w:r w:rsidR="001F18A3" w:rsidRPr="007314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F18A3" w:rsidRPr="00731497">
        <w:rPr>
          <w:rFonts w:ascii="Times New Roman" w:hAnsi="Times New Roman" w:cs="Times New Roman"/>
          <w:sz w:val="24"/>
          <w:szCs w:val="24"/>
        </w:rPr>
        <w:t>1</w:t>
      </w:r>
      <w:r w:rsidR="00AC57DA">
        <w:rPr>
          <w:rFonts w:ascii="Times New Roman" w:hAnsi="Times New Roman" w:cs="Times New Roman"/>
          <w:sz w:val="24"/>
          <w:szCs w:val="24"/>
        </w:rPr>
        <w:t>25</w:t>
      </w:r>
      <w:r w:rsidR="001F18A3" w:rsidRPr="00731497">
        <w:rPr>
          <w:rFonts w:ascii="Times New Roman" w:hAnsi="Times New Roman" w:cs="Times New Roman"/>
          <w:sz w:val="24"/>
          <w:szCs w:val="24"/>
        </w:rPr>
        <w:t>.</w:t>
      </w:r>
      <w:r w:rsidR="00AC57DA">
        <w:rPr>
          <w:rFonts w:ascii="Times New Roman" w:hAnsi="Times New Roman" w:cs="Times New Roman"/>
          <w:sz w:val="24"/>
          <w:szCs w:val="24"/>
        </w:rPr>
        <w:t>966</w:t>
      </w:r>
      <w:r w:rsidR="001F18A3" w:rsidRPr="00731497">
        <w:rPr>
          <w:rFonts w:ascii="Times New Roman" w:hAnsi="Times New Roman" w:cs="Times New Roman"/>
          <w:sz w:val="24"/>
          <w:szCs w:val="24"/>
        </w:rPr>
        <w:t>,</w:t>
      </w:r>
      <w:r w:rsidR="00AC57DA">
        <w:rPr>
          <w:rFonts w:ascii="Times New Roman" w:hAnsi="Times New Roman" w:cs="Times New Roman"/>
          <w:sz w:val="24"/>
          <w:szCs w:val="24"/>
        </w:rPr>
        <w:t>11</w:t>
      </w:r>
      <w:r w:rsidR="001F18A3" w:rsidRPr="00731497">
        <w:rPr>
          <w:rFonts w:ascii="Times New Roman" w:hAnsi="Times New Roman" w:cs="Times New Roman"/>
          <w:sz w:val="24"/>
          <w:szCs w:val="24"/>
        </w:rPr>
        <w:t xml:space="preserve"> €</w:t>
      </w:r>
      <w:r w:rsidR="001F18A3" w:rsidRPr="00731497">
        <w:t xml:space="preserve"> </w:t>
      </w:r>
      <w:r w:rsidR="00E809A9">
        <w:t>te</w:t>
      </w:r>
      <w:r w:rsidRPr="00731497">
        <w:rPr>
          <w:rFonts w:ascii="Times New Roman" w:eastAsia="Calibri" w:hAnsi="Times New Roman" w:cs="Times New Roman"/>
          <w:sz w:val="24"/>
          <w:szCs w:val="24"/>
        </w:rPr>
        <w:t xml:space="preserve"> ukupne rashode u iznosu od </w:t>
      </w:r>
      <w:r w:rsidR="001F18A3" w:rsidRPr="001F18A3">
        <w:rPr>
          <w:rFonts w:ascii="Times New Roman" w:hAnsi="Times New Roman" w:cs="Times New Roman"/>
          <w:sz w:val="24"/>
          <w:szCs w:val="24"/>
        </w:rPr>
        <w:t>1</w:t>
      </w:r>
      <w:r w:rsidR="00AC57DA">
        <w:rPr>
          <w:rFonts w:ascii="Times New Roman" w:hAnsi="Times New Roman" w:cs="Times New Roman"/>
          <w:sz w:val="24"/>
          <w:szCs w:val="24"/>
        </w:rPr>
        <w:t>23</w:t>
      </w:r>
      <w:r w:rsidR="001F18A3" w:rsidRPr="001F18A3">
        <w:rPr>
          <w:rFonts w:ascii="Times New Roman" w:hAnsi="Times New Roman" w:cs="Times New Roman"/>
          <w:sz w:val="24"/>
          <w:szCs w:val="24"/>
        </w:rPr>
        <w:t>.</w:t>
      </w:r>
      <w:r w:rsidR="00AC57DA">
        <w:rPr>
          <w:rFonts w:ascii="Times New Roman" w:hAnsi="Times New Roman" w:cs="Times New Roman"/>
          <w:sz w:val="24"/>
          <w:szCs w:val="24"/>
        </w:rPr>
        <w:t>397</w:t>
      </w:r>
      <w:r w:rsidR="001F18A3" w:rsidRPr="001F18A3">
        <w:rPr>
          <w:rFonts w:ascii="Times New Roman" w:hAnsi="Times New Roman" w:cs="Times New Roman"/>
          <w:sz w:val="24"/>
          <w:szCs w:val="24"/>
        </w:rPr>
        <w:t>,7</w:t>
      </w:r>
      <w:r w:rsidR="00AC57DA">
        <w:rPr>
          <w:rFonts w:ascii="Times New Roman" w:hAnsi="Times New Roman" w:cs="Times New Roman"/>
          <w:sz w:val="24"/>
          <w:szCs w:val="24"/>
        </w:rPr>
        <w:t>8</w:t>
      </w:r>
      <w:r w:rsidR="001F18A3" w:rsidRPr="001F18A3">
        <w:rPr>
          <w:rFonts w:ascii="Times New Roman" w:hAnsi="Times New Roman" w:cs="Times New Roman"/>
          <w:sz w:val="24"/>
          <w:szCs w:val="24"/>
        </w:rPr>
        <w:t xml:space="preserve"> €</w:t>
      </w:r>
      <w:r w:rsidR="00731497">
        <w:rPr>
          <w:rFonts w:ascii="Times New Roman" w:hAnsi="Times New Roman" w:cs="Times New Roman"/>
          <w:sz w:val="24"/>
          <w:szCs w:val="24"/>
        </w:rPr>
        <w:t>.</w:t>
      </w:r>
      <w:r w:rsidR="001F18A3">
        <w:t xml:space="preserve"> </w:t>
      </w:r>
      <w:r w:rsidR="00731497" w:rsidRPr="00731497">
        <w:rPr>
          <w:rFonts w:ascii="Times New Roman" w:hAnsi="Times New Roman" w:cs="Times New Roman"/>
          <w:sz w:val="24"/>
          <w:szCs w:val="24"/>
        </w:rPr>
        <w:t xml:space="preserve">Razlika ostvarenih prihoda i primitka te rashoda i izdataka daje manjak prihoda i primitka u iznosu od </w:t>
      </w:r>
      <w:r w:rsidR="00AC57DA">
        <w:rPr>
          <w:rFonts w:ascii="Times New Roman" w:hAnsi="Times New Roman" w:cs="Times New Roman"/>
          <w:sz w:val="24"/>
          <w:szCs w:val="24"/>
        </w:rPr>
        <w:t>2.621,06</w:t>
      </w:r>
      <w:r w:rsidR="00731497" w:rsidRPr="00731497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0CBEF718" w14:textId="77777777" w:rsidR="00B830E3" w:rsidRPr="00B830E3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51A18A8" w14:textId="05975751" w:rsidR="00B830E3" w:rsidRPr="00B4469D" w:rsidRDefault="00B830E3" w:rsidP="00B830E3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9D">
        <w:rPr>
          <w:rFonts w:ascii="Times New Roman" w:eastAsia="Calibri" w:hAnsi="Times New Roman" w:cs="Times New Roman"/>
          <w:b/>
          <w:sz w:val="24"/>
          <w:szCs w:val="24"/>
          <w:u w:val="single"/>
        </w:rPr>
        <w:t>Ukupni prihodi</w:t>
      </w:r>
      <w:r w:rsidRPr="00B4469D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731497" w:rsidRPr="00B4469D">
        <w:rPr>
          <w:rFonts w:ascii="Times New Roman" w:hAnsi="Times New Roman" w:cs="Times New Roman"/>
          <w:sz w:val="24"/>
          <w:szCs w:val="24"/>
        </w:rPr>
        <w:t>1</w:t>
      </w:r>
      <w:r w:rsidR="00AC57DA">
        <w:rPr>
          <w:rFonts w:ascii="Times New Roman" w:hAnsi="Times New Roman" w:cs="Times New Roman"/>
          <w:sz w:val="24"/>
          <w:szCs w:val="24"/>
        </w:rPr>
        <w:t>25</w:t>
      </w:r>
      <w:r w:rsidR="00731497" w:rsidRPr="00B4469D">
        <w:rPr>
          <w:rFonts w:ascii="Times New Roman" w:hAnsi="Times New Roman" w:cs="Times New Roman"/>
          <w:sz w:val="24"/>
          <w:szCs w:val="24"/>
        </w:rPr>
        <w:t>.</w:t>
      </w:r>
      <w:r w:rsidR="00AC57DA">
        <w:rPr>
          <w:rFonts w:ascii="Times New Roman" w:hAnsi="Times New Roman" w:cs="Times New Roman"/>
          <w:sz w:val="24"/>
          <w:szCs w:val="24"/>
        </w:rPr>
        <w:t>966</w:t>
      </w:r>
      <w:r w:rsidR="00731497" w:rsidRPr="00B4469D">
        <w:rPr>
          <w:rFonts w:ascii="Times New Roman" w:hAnsi="Times New Roman" w:cs="Times New Roman"/>
          <w:sz w:val="24"/>
          <w:szCs w:val="24"/>
        </w:rPr>
        <w:t>,</w:t>
      </w:r>
      <w:r w:rsidR="00AC57DA">
        <w:rPr>
          <w:rFonts w:ascii="Times New Roman" w:hAnsi="Times New Roman" w:cs="Times New Roman"/>
          <w:sz w:val="24"/>
          <w:szCs w:val="24"/>
        </w:rPr>
        <w:t>11</w:t>
      </w:r>
      <w:r w:rsidR="00731497" w:rsidRPr="00B4469D">
        <w:rPr>
          <w:rFonts w:ascii="Times New Roman" w:hAnsi="Times New Roman" w:cs="Times New Roman"/>
          <w:sz w:val="24"/>
          <w:szCs w:val="24"/>
        </w:rPr>
        <w:t xml:space="preserve"> € </w:t>
      </w:r>
      <w:r w:rsidR="00731497" w:rsidRPr="00B4469D">
        <w:rPr>
          <w:rFonts w:ascii="Times New Roman" w:eastAsia="Calibri" w:hAnsi="Times New Roman" w:cs="Times New Roman"/>
          <w:sz w:val="24"/>
          <w:szCs w:val="24"/>
        </w:rPr>
        <w:t xml:space="preserve"> su realizirani s </w:t>
      </w:r>
      <w:r w:rsidR="00AC57DA">
        <w:rPr>
          <w:rFonts w:ascii="Times New Roman" w:eastAsia="Calibri" w:hAnsi="Times New Roman" w:cs="Times New Roman"/>
          <w:sz w:val="24"/>
          <w:szCs w:val="24"/>
        </w:rPr>
        <w:t>89</w:t>
      </w:r>
      <w:r w:rsidR="00731497" w:rsidRPr="00B4469D">
        <w:rPr>
          <w:rFonts w:ascii="Times New Roman" w:eastAsia="Calibri" w:hAnsi="Times New Roman" w:cs="Times New Roman"/>
          <w:sz w:val="24"/>
          <w:szCs w:val="24"/>
        </w:rPr>
        <w:t>,</w:t>
      </w:r>
      <w:r w:rsidR="00AC57DA">
        <w:rPr>
          <w:rFonts w:ascii="Times New Roman" w:eastAsia="Calibri" w:hAnsi="Times New Roman" w:cs="Times New Roman"/>
          <w:sz w:val="24"/>
          <w:szCs w:val="24"/>
        </w:rPr>
        <w:t>98</w:t>
      </w:r>
      <w:r w:rsidRPr="00B4469D">
        <w:rPr>
          <w:rFonts w:ascii="Times New Roman" w:eastAsia="Calibri" w:hAnsi="Times New Roman" w:cs="Times New Roman"/>
          <w:sz w:val="24"/>
          <w:szCs w:val="24"/>
        </w:rPr>
        <w:t xml:space="preserve"> % u odnosu na planirane. </w:t>
      </w:r>
    </w:p>
    <w:p w14:paraId="2530B3B3" w14:textId="77777777" w:rsidR="00B830E3" w:rsidRPr="00B4469D" w:rsidRDefault="001C153D" w:rsidP="001C153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9D">
        <w:rPr>
          <w:rFonts w:ascii="Times New Roman" w:eastAsia="Calibri" w:hAnsi="Times New Roman" w:cs="Times New Roman"/>
          <w:sz w:val="24"/>
          <w:szCs w:val="24"/>
        </w:rPr>
        <w:t xml:space="preserve">Sastoje se od: </w:t>
      </w:r>
    </w:p>
    <w:p w14:paraId="586A99FA" w14:textId="5FC8DBF5" w:rsidR="001C153D" w:rsidRPr="00B4469D" w:rsidRDefault="001C153D" w:rsidP="001C153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sz w:val="24"/>
          <w:szCs w:val="24"/>
        </w:rPr>
        <w:t xml:space="preserve">Prihodi od imovine (kamate)  </w:t>
      </w:r>
      <w:r w:rsidRPr="00B4469D">
        <w:rPr>
          <w:rFonts w:ascii="Times New Roman" w:hAnsi="Times New Roman" w:cs="Times New Roman"/>
          <w:sz w:val="24"/>
          <w:szCs w:val="24"/>
        </w:rPr>
        <w:t xml:space="preserve">u 2024. godini iznose </w:t>
      </w:r>
      <w:r w:rsidR="00F44F12">
        <w:rPr>
          <w:rFonts w:ascii="Times New Roman" w:hAnsi="Times New Roman" w:cs="Times New Roman"/>
          <w:sz w:val="24"/>
          <w:szCs w:val="24"/>
        </w:rPr>
        <w:t>2</w:t>
      </w:r>
      <w:r w:rsidRPr="00B4469D">
        <w:rPr>
          <w:rFonts w:ascii="Times New Roman" w:hAnsi="Times New Roman" w:cs="Times New Roman"/>
          <w:sz w:val="24"/>
          <w:szCs w:val="24"/>
        </w:rPr>
        <w:t>,</w:t>
      </w:r>
      <w:r w:rsidR="00F44F12">
        <w:rPr>
          <w:rFonts w:ascii="Times New Roman" w:hAnsi="Times New Roman" w:cs="Times New Roman"/>
          <w:sz w:val="24"/>
          <w:szCs w:val="24"/>
        </w:rPr>
        <w:t>96</w:t>
      </w:r>
      <w:r w:rsidRPr="00B4469D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3D00C2FE" w14:textId="2D58FB77" w:rsidR="001C153D" w:rsidRPr="00B4469D" w:rsidRDefault="001C153D" w:rsidP="001C15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sz w:val="24"/>
          <w:szCs w:val="24"/>
        </w:rPr>
        <w:t xml:space="preserve">Ostali nespomenuti prihodi </w:t>
      </w:r>
      <w:r w:rsidRPr="00B4469D">
        <w:rPr>
          <w:rFonts w:ascii="Times New Roman" w:hAnsi="Times New Roman" w:cs="Times New Roman"/>
          <w:sz w:val="24"/>
          <w:szCs w:val="24"/>
        </w:rPr>
        <w:t>(</w:t>
      </w:r>
      <w:r w:rsidR="00F44F12">
        <w:rPr>
          <w:rFonts w:ascii="Times New Roman" w:hAnsi="Times New Roman" w:cs="Times New Roman"/>
          <w:sz w:val="24"/>
          <w:szCs w:val="24"/>
        </w:rPr>
        <w:t xml:space="preserve">suveniri i ulaznice </w:t>
      </w:r>
      <w:r w:rsidRPr="00B4469D">
        <w:rPr>
          <w:rFonts w:ascii="Times New Roman" w:hAnsi="Times New Roman" w:cs="Times New Roman"/>
          <w:sz w:val="24"/>
          <w:szCs w:val="24"/>
        </w:rPr>
        <w:t xml:space="preserve">) za 2024.g. iznose </w:t>
      </w:r>
      <w:r w:rsidR="00F44F12">
        <w:rPr>
          <w:rFonts w:ascii="Times New Roman" w:hAnsi="Times New Roman" w:cs="Times New Roman"/>
          <w:sz w:val="24"/>
          <w:szCs w:val="24"/>
        </w:rPr>
        <w:t>5.448,19</w:t>
      </w:r>
      <w:r w:rsidRPr="00B4469D">
        <w:rPr>
          <w:rFonts w:ascii="Times New Roman" w:hAnsi="Times New Roman" w:cs="Times New Roman"/>
          <w:sz w:val="24"/>
          <w:szCs w:val="24"/>
        </w:rPr>
        <w:t xml:space="preserve"> € i </w:t>
      </w:r>
      <w:r w:rsidR="00F44F12">
        <w:rPr>
          <w:rFonts w:ascii="Times New Roman" w:hAnsi="Times New Roman" w:cs="Times New Roman"/>
          <w:sz w:val="24"/>
          <w:szCs w:val="24"/>
        </w:rPr>
        <w:t xml:space="preserve">veći </w:t>
      </w:r>
      <w:r w:rsidRPr="00B4469D">
        <w:rPr>
          <w:rFonts w:ascii="Times New Roman" w:hAnsi="Times New Roman" w:cs="Times New Roman"/>
          <w:sz w:val="24"/>
          <w:szCs w:val="24"/>
        </w:rPr>
        <w:t xml:space="preserve">su od prošlogodišnjih zbog </w:t>
      </w:r>
      <w:r w:rsidR="00F44F12">
        <w:rPr>
          <w:rFonts w:ascii="Times New Roman" w:hAnsi="Times New Roman" w:cs="Times New Roman"/>
          <w:sz w:val="24"/>
          <w:szCs w:val="24"/>
        </w:rPr>
        <w:t>uvođenja prodaje suvenira.</w:t>
      </w:r>
    </w:p>
    <w:p w14:paraId="614560D0" w14:textId="53284857" w:rsidR="001C153D" w:rsidRPr="00B4469D" w:rsidRDefault="001C153D" w:rsidP="001C15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sz w:val="24"/>
          <w:szCs w:val="24"/>
        </w:rPr>
        <w:t xml:space="preserve">Prihodi iz nadležnog proračuna za financiranje redovne djelatnosti </w:t>
      </w:r>
      <w:r w:rsidRPr="00B4469D">
        <w:rPr>
          <w:rFonts w:ascii="Times New Roman" w:hAnsi="Times New Roman" w:cs="Times New Roman"/>
          <w:sz w:val="24"/>
          <w:szCs w:val="24"/>
        </w:rPr>
        <w:t xml:space="preserve">(gradski proračun) za 2024.g. iznose </w:t>
      </w:r>
      <w:r w:rsidR="00F44F12">
        <w:rPr>
          <w:rFonts w:ascii="Times New Roman" w:hAnsi="Times New Roman" w:cs="Times New Roman"/>
          <w:sz w:val="24"/>
          <w:szCs w:val="24"/>
        </w:rPr>
        <w:t>118</w:t>
      </w:r>
      <w:r w:rsidRPr="00B4469D">
        <w:rPr>
          <w:rFonts w:ascii="Times New Roman" w:hAnsi="Times New Roman" w:cs="Times New Roman"/>
          <w:sz w:val="24"/>
          <w:szCs w:val="24"/>
        </w:rPr>
        <w:t>.4</w:t>
      </w:r>
      <w:r w:rsidR="00F44F12">
        <w:rPr>
          <w:rFonts w:ascii="Times New Roman" w:hAnsi="Times New Roman" w:cs="Times New Roman"/>
          <w:sz w:val="24"/>
          <w:szCs w:val="24"/>
        </w:rPr>
        <w:t>74</w:t>
      </w:r>
      <w:r w:rsidRPr="00B4469D">
        <w:rPr>
          <w:rFonts w:ascii="Times New Roman" w:hAnsi="Times New Roman" w:cs="Times New Roman"/>
          <w:sz w:val="24"/>
          <w:szCs w:val="24"/>
        </w:rPr>
        <w:t>,</w:t>
      </w:r>
      <w:r w:rsidR="00F44F12">
        <w:rPr>
          <w:rFonts w:ascii="Times New Roman" w:hAnsi="Times New Roman" w:cs="Times New Roman"/>
          <w:sz w:val="24"/>
          <w:szCs w:val="24"/>
        </w:rPr>
        <w:t>96</w:t>
      </w:r>
      <w:r w:rsidRPr="00B4469D">
        <w:rPr>
          <w:rFonts w:ascii="Times New Roman" w:hAnsi="Times New Roman" w:cs="Times New Roman"/>
          <w:sz w:val="24"/>
          <w:szCs w:val="24"/>
        </w:rPr>
        <w:t xml:space="preserve"> €, razlog povećanja u odnosu na prošlu godinu je povećanje prihoda za financiranje rashoda poslovanja;  povećanje za zaposlene te materijalni rashodi.</w:t>
      </w:r>
    </w:p>
    <w:p w14:paraId="3DA003E6" w14:textId="77777777" w:rsidR="001C153D" w:rsidRPr="00B4469D" w:rsidRDefault="001C153D" w:rsidP="001C153D">
      <w:pPr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C25D74" w14:textId="01470CB7" w:rsidR="001C153D" w:rsidRPr="00B4469D" w:rsidRDefault="001C153D" w:rsidP="001C15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469D" w:rsidRPr="00B4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Ukupni rashodi </w:t>
      </w:r>
      <w:r w:rsidRPr="00B4469D">
        <w:rPr>
          <w:rFonts w:ascii="Times New Roman" w:hAnsi="Times New Roman" w:cs="Times New Roman"/>
          <w:sz w:val="24"/>
          <w:szCs w:val="24"/>
        </w:rPr>
        <w:t xml:space="preserve"> </w:t>
      </w:r>
      <w:r w:rsidR="00F44F12">
        <w:rPr>
          <w:rFonts w:ascii="Times New Roman" w:hAnsi="Times New Roman" w:cs="Times New Roman"/>
          <w:sz w:val="24"/>
          <w:szCs w:val="24"/>
        </w:rPr>
        <w:t xml:space="preserve">muzeja </w:t>
      </w:r>
      <w:r w:rsidRPr="00B4469D">
        <w:rPr>
          <w:rFonts w:ascii="Times New Roman" w:hAnsi="Times New Roman" w:cs="Times New Roman"/>
          <w:sz w:val="24"/>
          <w:szCs w:val="24"/>
        </w:rPr>
        <w:t xml:space="preserve"> za 2024.g. iznose 102.450,72 € što je odnosu na 2023.g. povećanje rashoda poslovanja i to u  dijelu rashoda za zaposlene, financijskih i materijalnih rashoda.</w:t>
      </w:r>
    </w:p>
    <w:p w14:paraId="41880F3F" w14:textId="77777777" w:rsidR="00B4469D" w:rsidRPr="00B4469D" w:rsidRDefault="00B4469D" w:rsidP="001C15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B124" w14:textId="77777777" w:rsidR="00B4469D" w:rsidRPr="00B4469D" w:rsidRDefault="00B4469D" w:rsidP="00B4469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9D">
        <w:rPr>
          <w:rFonts w:ascii="Times New Roman" w:eastAsia="Calibri" w:hAnsi="Times New Roman" w:cs="Times New Roman"/>
          <w:sz w:val="24"/>
          <w:szCs w:val="24"/>
        </w:rPr>
        <w:t>Sastoje se od :</w:t>
      </w:r>
    </w:p>
    <w:p w14:paraId="57416FF8" w14:textId="6CE19D82" w:rsidR="00B4469D" w:rsidRPr="00B4469D" w:rsidRDefault="00B4469D" w:rsidP="00B4469D">
      <w:pPr>
        <w:pStyle w:val="Odlomakpopisa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B4469D">
        <w:rPr>
          <w:rFonts w:ascii="Times New Roman" w:hAnsi="Times New Roman" w:cs="Times New Roman"/>
          <w:sz w:val="24"/>
          <w:szCs w:val="24"/>
        </w:rPr>
        <w:t>, koji  iznose  7</w:t>
      </w:r>
      <w:r w:rsidR="00F44F12">
        <w:rPr>
          <w:rFonts w:ascii="Times New Roman" w:hAnsi="Times New Roman" w:cs="Times New Roman"/>
          <w:sz w:val="24"/>
          <w:szCs w:val="24"/>
        </w:rPr>
        <w:t>2</w:t>
      </w:r>
      <w:r w:rsidRPr="00B4469D">
        <w:rPr>
          <w:rFonts w:ascii="Times New Roman" w:hAnsi="Times New Roman" w:cs="Times New Roman"/>
          <w:sz w:val="24"/>
          <w:szCs w:val="24"/>
        </w:rPr>
        <w:t>.</w:t>
      </w:r>
      <w:r w:rsidR="00F44F12">
        <w:rPr>
          <w:rFonts w:ascii="Times New Roman" w:hAnsi="Times New Roman" w:cs="Times New Roman"/>
          <w:sz w:val="24"/>
          <w:szCs w:val="24"/>
        </w:rPr>
        <w:t>856</w:t>
      </w:r>
      <w:r w:rsidRPr="00B4469D">
        <w:rPr>
          <w:rFonts w:ascii="Times New Roman" w:hAnsi="Times New Roman" w:cs="Times New Roman"/>
          <w:sz w:val="24"/>
          <w:szCs w:val="24"/>
        </w:rPr>
        <w:t>,</w:t>
      </w:r>
      <w:r w:rsidR="00F44F12">
        <w:rPr>
          <w:rFonts w:ascii="Times New Roman" w:hAnsi="Times New Roman" w:cs="Times New Roman"/>
          <w:sz w:val="24"/>
          <w:szCs w:val="24"/>
        </w:rPr>
        <w:t>73</w:t>
      </w:r>
      <w:r w:rsidRPr="00B4469D">
        <w:rPr>
          <w:rFonts w:ascii="Times New Roman" w:hAnsi="Times New Roman" w:cs="Times New Roman"/>
          <w:sz w:val="24"/>
          <w:szCs w:val="24"/>
        </w:rPr>
        <w:t xml:space="preserve"> €  i veći su zbog povećanja osnovice plaće te ostalih rashoda za zaposlene (Božićnice)</w:t>
      </w:r>
      <w:r w:rsidR="00F44F12">
        <w:rPr>
          <w:rFonts w:ascii="Times New Roman" w:hAnsi="Times New Roman" w:cs="Times New Roman"/>
          <w:sz w:val="24"/>
          <w:szCs w:val="24"/>
        </w:rPr>
        <w:t xml:space="preserve"> te zaposlenja novog djelatnika</w:t>
      </w:r>
      <w:r w:rsidRPr="00B4469D">
        <w:rPr>
          <w:rFonts w:ascii="Times New Roman" w:hAnsi="Times New Roman" w:cs="Times New Roman"/>
          <w:sz w:val="24"/>
          <w:szCs w:val="24"/>
        </w:rPr>
        <w:t>.</w:t>
      </w:r>
    </w:p>
    <w:p w14:paraId="04715849" w14:textId="3023C46F" w:rsidR="00B4469D" w:rsidRPr="00B4469D" w:rsidRDefault="00B4469D" w:rsidP="00B4469D">
      <w:pPr>
        <w:pStyle w:val="Odlomakpopisa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Materijalnih rashoda i financijskih rashoda </w:t>
      </w:r>
      <w:r w:rsidRPr="00B4469D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2A37D3">
        <w:rPr>
          <w:rFonts w:ascii="Times New Roman" w:hAnsi="Times New Roman" w:cs="Times New Roman"/>
          <w:sz w:val="24"/>
          <w:szCs w:val="24"/>
        </w:rPr>
        <w:t>47.020,10</w:t>
      </w:r>
      <w:r w:rsidRPr="00B4469D">
        <w:rPr>
          <w:rFonts w:ascii="Times New Roman" w:hAnsi="Times New Roman" w:cs="Times New Roman"/>
          <w:sz w:val="24"/>
          <w:szCs w:val="24"/>
        </w:rPr>
        <w:t xml:space="preserve"> €  veći su u odnosu na 2023.godinu što je posljedica nekoliko ključnih faktora:</w:t>
      </w:r>
    </w:p>
    <w:p w14:paraId="0B549E2C" w14:textId="29AB5F25" w:rsidR="00B4469D" w:rsidRPr="00B4469D" w:rsidRDefault="00B4469D" w:rsidP="00B4469D">
      <w:pPr>
        <w:pStyle w:val="StandardWeb"/>
        <w:numPr>
          <w:ilvl w:val="0"/>
          <w:numId w:val="1"/>
        </w:numPr>
        <w:spacing w:line="276" w:lineRule="auto"/>
      </w:pPr>
      <w:r w:rsidRPr="00B4469D">
        <w:rPr>
          <w:rStyle w:val="Naglaeno"/>
        </w:rPr>
        <w:t xml:space="preserve">Povećanje </w:t>
      </w:r>
      <w:r w:rsidR="002A37D3">
        <w:rPr>
          <w:rStyle w:val="Naglaeno"/>
        </w:rPr>
        <w:t xml:space="preserve">usluge promidžbe i informiranja </w:t>
      </w:r>
      <w:r w:rsidRPr="00B4469D">
        <w:t xml:space="preserve"> – Rast troškova nastao je zbog </w:t>
      </w:r>
      <w:r w:rsidR="002A37D3">
        <w:t>pripajanja galerije Era Muzeju koji sada broji tri ustanove.</w:t>
      </w:r>
    </w:p>
    <w:p w14:paraId="4844B38F" w14:textId="77777777" w:rsidR="00B4469D" w:rsidRPr="00B4469D" w:rsidRDefault="00B4469D" w:rsidP="00B4469D">
      <w:pPr>
        <w:pStyle w:val="StandardWeb"/>
        <w:numPr>
          <w:ilvl w:val="0"/>
          <w:numId w:val="1"/>
        </w:numPr>
        <w:spacing w:line="276" w:lineRule="auto"/>
      </w:pPr>
      <w:r w:rsidRPr="00B4469D">
        <w:rPr>
          <w:rStyle w:val="Naglaeno"/>
        </w:rPr>
        <w:t>Poskupljenje zdravstvenih usluga</w:t>
      </w:r>
      <w:r w:rsidRPr="00B4469D">
        <w:t xml:space="preserve"> – Troškovi vezani uz dodatno zdravstveno osiguranje zaposlenika također su porasli, što je rezultiralo većim iznosima u ovoj kategoriji rashoda.</w:t>
      </w:r>
    </w:p>
    <w:p w14:paraId="0EA949EC" w14:textId="601A0610" w:rsidR="00B4469D" w:rsidRPr="00B4469D" w:rsidRDefault="00B4469D" w:rsidP="00B4469D">
      <w:pPr>
        <w:pStyle w:val="StandardWeb"/>
        <w:numPr>
          <w:ilvl w:val="0"/>
          <w:numId w:val="1"/>
        </w:numPr>
        <w:spacing w:line="276" w:lineRule="auto"/>
      </w:pPr>
      <w:r w:rsidRPr="00B4469D">
        <w:rPr>
          <w:rStyle w:val="Naglaeno"/>
        </w:rPr>
        <w:t>Povećanje intelektualnih i osobnih usluga, reprezentacije te usluga promidžbe i informiranja</w:t>
      </w:r>
      <w:r w:rsidRPr="00B4469D">
        <w:t xml:space="preserve"> – Zbog većeg broja </w:t>
      </w:r>
      <w:r w:rsidR="002A37D3">
        <w:t xml:space="preserve">muzejskih </w:t>
      </w:r>
      <w:r w:rsidRPr="00B4469D">
        <w:t xml:space="preserve"> događanja i aktivnosti, troškovi za ove usluge su značajno porasli. Organizacija i promidžba </w:t>
      </w:r>
      <w:r w:rsidR="002A37D3">
        <w:t xml:space="preserve">muzejskih </w:t>
      </w:r>
      <w:r w:rsidRPr="00B4469D">
        <w:t xml:space="preserve"> programa zahtijevala je dodatna ulaganja u usluge promocije i informiranja.</w:t>
      </w:r>
    </w:p>
    <w:p w14:paraId="0F859577" w14:textId="1B0D1A5A" w:rsidR="00B4469D" w:rsidRPr="00B4469D" w:rsidRDefault="00B4469D" w:rsidP="00B4469D">
      <w:pPr>
        <w:pStyle w:val="StandardWeb"/>
        <w:numPr>
          <w:ilvl w:val="0"/>
          <w:numId w:val="1"/>
        </w:numPr>
        <w:spacing w:line="276" w:lineRule="auto"/>
      </w:pPr>
      <w:r w:rsidRPr="00B4469D">
        <w:rPr>
          <w:rStyle w:val="Naglaeno"/>
        </w:rPr>
        <w:t>Povećanje ostalih nespomenutih rashoda poslovanja</w:t>
      </w:r>
      <w:r w:rsidRPr="00B4469D">
        <w:t xml:space="preserve"> – Zabilježen je rast troškova u ovoj kategoriji, koji su se odnosili na zaprimanje e-računa i organizaciju kreativnih radionica</w:t>
      </w:r>
      <w:r w:rsidR="002A37D3">
        <w:t xml:space="preserve"> i izložbi </w:t>
      </w:r>
      <w:r w:rsidRPr="00B4469D">
        <w:t xml:space="preserve"> u </w:t>
      </w:r>
      <w:r w:rsidR="002A37D3">
        <w:t>muzeju</w:t>
      </w:r>
      <w:r w:rsidRPr="00B4469D">
        <w:t>. Održavanje većeg broja kreativnih radionica</w:t>
      </w:r>
      <w:r w:rsidR="002A37D3">
        <w:t xml:space="preserve"> i izložbi </w:t>
      </w:r>
      <w:r w:rsidRPr="00B4469D">
        <w:t xml:space="preserve"> zahtijevalo je dodatne resurse, što je rezultiralo povećanjem rashoda.</w:t>
      </w:r>
    </w:p>
    <w:p w14:paraId="12C3A896" w14:textId="4D79B0FF" w:rsidR="00B4469D" w:rsidRPr="00B4469D" w:rsidRDefault="00B4469D" w:rsidP="00B4469D">
      <w:pPr>
        <w:pStyle w:val="StandardWeb"/>
        <w:spacing w:line="276" w:lineRule="auto"/>
      </w:pPr>
      <w:r w:rsidRPr="00B4469D">
        <w:t xml:space="preserve">U cjelini, povećanje troškova u 2024. godini odražava širenje i obogaćivanje usluga, s ciljem pružanja bolje usluge </w:t>
      </w:r>
      <w:r w:rsidR="002A37D3">
        <w:t xml:space="preserve">posjetiteljima </w:t>
      </w:r>
      <w:r w:rsidRPr="00B4469D">
        <w:t xml:space="preserve">, dok su dodatni troškovi bili nužni za podršku većem broju aktivnosti i programa organiziranih u </w:t>
      </w:r>
      <w:r w:rsidR="002A37D3">
        <w:t>muzeju</w:t>
      </w:r>
      <w:r w:rsidRPr="00B4469D">
        <w:t>.</w:t>
      </w:r>
    </w:p>
    <w:p w14:paraId="7727385D" w14:textId="77777777" w:rsidR="00B4469D" w:rsidRPr="00B4469D" w:rsidRDefault="00B4469D" w:rsidP="00B4469D">
      <w:pPr>
        <w:pStyle w:val="StandardWeb"/>
        <w:spacing w:line="276" w:lineRule="auto"/>
      </w:pPr>
      <w:r w:rsidRPr="00B4469D">
        <w:t xml:space="preserve">U 2024. godini zabilježen je pad rashoda u kategoriji </w:t>
      </w:r>
      <w:r w:rsidRPr="00B4469D">
        <w:rPr>
          <w:rStyle w:val="Naglaeno"/>
        </w:rPr>
        <w:t>uredskog materijala i ostalih materijalnih rashoda</w:t>
      </w:r>
      <w:r w:rsidRPr="00B4469D">
        <w:t xml:space="preserve"> u odnosu na 2023. godinu. Ovaj smanjeni rashod rezultat je sljedećeg:</w:t>
      </w:r>
    </w:p>
    <w:p w14:paraId="36AA38A1" w14:textId="5EBC56B0" w:rsidR="00B4469D" w:rsidRPr="00B4469D" w:rsidRDefault="002A37D3" w:rsidP="00B4469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Naglaeno"/>
          <w:rFonts w:ascii="Times New Roman" w:hAnsi="Times New Roman" w:cs="Times New Roman"/>
          <w:sz w:val="24"/>
          <w:szCs w:val="24"/>
        </w:rPr>
        <w:t>Nabavka veće količine uredskog materijala u prošloj godini.</w:t>
      </w:r>
    </w:p>
    <w:p w14:paraId="637450FF" w14:textId="77777777" w:rsidR="002A37D3" w:rsidRDefault="002A37D3" w:rsidP="002A37D3">
      <w:pPr>
        <w:pStyle w:val="StandardWeb"/>
        <w:spacing w:line="276" w:lineRule="auto"/>
        <w:ind w:left="360"/>
        <w:rPr>
          <w:rStyle w:val="Naglaeno"/>
        </w:rPr>
      </w:pPr>
    </w:p>
    <w:p w14:paraId="38ADA021" w14:textId="77777777" w:rsidR="002A37D3" w:rsidRDefault="002A37D3" w:rsidP="002A37D3">
      <w:pPr>
        <w:pStyle w:val="StandardWeb"/>
        <w:spacing w:line="276" w:lineRule="auto"/>
        <w:ind w:left="360"/>
        <w:rPr>
          <w:rStyle w:val="Naglaeno"/>
        </w:rPr>
      </w:pPr>
    </w:p>
    <w:p w14:paraId="278773EB" w14:textId="77777777" w:rsidR="00EC76D8" w:rsidRDefault="00B4469D" w:rsidP="00EC76D8">
      <w:pPr>
        <w:pStyle w:val="StandardWeb"/>
        <w:spacing w:line="276" w:lineRule="auto"/>
        <w:ind w:left="360"/>
      </w:pPr>
      <w:r>
        <w:rPr>
          <w:rStyle w:val="Naglaeno"/>
        </w:rPr>
        <w:t>Rashodi za nabavu proizvedene dugotrajne imovine</w:t>
      </w:r>
      <w:r>
        <w:t xml:space="preserve"> iznosili su </w:t>
      </w:r>
      <w:r w:rsidR="002A37D3">
        <w:t>3.172,50</w:t>
      </w:r>
      <w:r>
        <w:t xml:space="preserve"> €, što predstavlja povećanje u odnosu na 2023. godinu. Povećanje troškova rezultat je nabave novog računala, jer je prethodno računalo bilo neispravno i zahtijevalo zamjenu. </w:t>
      </w:r>
      <w:r w:rsidR="00EC76D8">
        <w:t xml:space="preserve">Nabavljen je i laptop za potrebe uvođenja programa maloprodaje. Nabavljeni su i izložbeni stalci. </w:t>
      </w:r>
    </w:p>
    <w:p w14:paraId="323C0903" w14:textId="6330B42B" w:rsidR="00B4469D" w:rsidRDefault="00B4469D" w:rsidP="00B4469D">
      <w:pPr>
        <w:pStyle w:val="StandardWeb"/>
        <w:spacing w:line="276" w:lineRule="auto"/>
      </w:pPr>
      <w:r>
        <w:lastRenderedPageBreak/>
        <w:t xml:space="preserve">Ovi pomaci u rashodima odražavaju učinkovitije upravljanje financijskim sredstvima, s posebnim naglaskom na ulaganja u dugotrajnu imovinu i racionalizaciju troškova </w:t>
      </w:r>
      <w:r w:rsidR="00EC76D8">
        <w:t>poslovanja Muzeja</w:t>
      </w:r>
      <w:r>
        <w:t>.</w:t>
      </w:r>
    </w:p>
    <w:p w14:paraId="44328125" w14:textId="77777777" w:rsidR="00B4469D" w:rsidRPr="00B4469D" w:rsidRDefault="00B4469D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1461A" w14:textId="77777777" w:rsidR="00B830E3" w:rsidRPr="00E809A9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>Stanje nenaplaćenih potraživanja (dospjela i nedospjela) na dan 31.12.2023. iznose 0,00 kn.</w:t>
      </w:r>
    </w:p>
    <w:p w14:paraId="403B2F3C" w14:textId="77777777" w:rsidR="00B830E3" w:rsidRPr="00E809A9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>Stanje nepodmirenih dospjelih obveza je 0,00 kn.</w:t>
      </w:r>
    </w:p>
    <w:p w14:paraId="398FD7D4" w14:textId="77777777" w:rsidR="00B830E3" w:rsidRPr="00E809A9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>Potencijalnih obveza po osnovi sudskih postupaka nema.</w:t>
      </w:r>
    </w:p>
    <w:p w14:paraId="5E57C159" w14:textId="77777777" w:rsidR="00B830E3" w:rsidRPr="00E809A9" w:rsidRDefault="00B830E3" w:rsidP="00B830E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14B4C" w14:textId="1C3D5ED0" w:rsidR="00B830E3" w:rsidRPr="00E809A9" w:rsidRDefault="00B830E3" w:rsidP="00B830E3">
      <w:pPr>
        <w:tabs>
          <w:tab w:val="center" w:pos="7371"/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ab/>
      </w:r>
      <w:r w:rsidR="00EC76D8">
        <w:rPr>
          <w:rFonts w:ascii="Times New Roman" w:eastAsia="Calibri" w:hAnsi="Times New Roman" w:cs="Times New Roman"/>
          <w:sz w:val="24"/>
          <w:szCs w:val="24"/>
        </w:rPr>
        <w:t xml:space="preserve">Privremeni </w:t>
      </w:r>
      <w:r w:rsidRPr="00E809A9">
        <w:rPr>
          <w:rFonts w:ascii="Times New Roman" w:eastAsia="Calibri" w:hAnsi="Times New Roman" w:cs="Times New Roman"/>
          <w:sz w:val="24"/>
          <w:szCs w:val="24"/>
        </w:rPr>
        <w:t xml:space="preserve"> ravnatelj:</w:t>
      </w:r>
    </w:p>
    <w:p w14:paraId="31D285E4" w14:textId="77777777" w:rsidR="00B830E3" w:rsidRPr="00E809A9" w:rsidRDefault="00B830E3" w:rsidP="00B830E3">
      <w:pPr>
        <w:tabs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674927" w14:textId="3E2398E2" w:rsidR="00B830E3" w:rsidRPr="00E809A9" w:rsidRDefault="00B830E3" w:rsidP="00B830E3">
      <w:pPr>
        <w:tabs>
          <w:tab w:val="center" w:pos="7371"/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09A9">
        <w:rPr>
          <w:rFonts w:ascii="Times New Roman" w:eastAsia="Calibri" w:hAnsi="Times New Roman" w:cs="Times New Roman"/>
          <w:sz w:val="24"/>
          <w:szCs w:val="24"/>
        </w:rPr>
        <w:tab/>
      </w:r>
      <w:r w:rsidR="00EC76D8">
        <w:rPr>
          <w:rFonts w:ascii="Times New Roman" w:eastAsia="Calibri" w:hAnsi="Times New Roman" w:cs="Times New Roman"/>
          <w:sz w:val="24"/>
          <w:szCs w:val="24"/>
        </w:rPr>
        <w:t xml:space="preserve">Jelena Šćiran </w:t>
      </w:r>
    </w:p>
    <w:p w14:paraId="396E4864" w14:textId="77777777" w:rsidR="006A6DB0" w:rsidRDefault="006A6DB0"/>
    <w:sectPr w:rsidR="006A6DB0" w:rsidSect="00E809A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EC5"/>
    <w:multiLevelType w:val="multilevel"/>
    <w:tmpl w:val="7C3A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C75A9"/>
    <w:multiLevelType w:val="multilevel"/>
    <w:tmpl w:val="4F1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E0F3D"/>
    <w:multiLevelType w:val="hybridMultilevel"/>
    <w:tmpl w:val="34E472DA"/>
    <w:lvl w:ilvl="0" w:tplc="D4F08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F0EEA"/>
    <w:multiLevelType w:val="multilevel"/>
    <w:tmpl w:val="C624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034404">
    <w:abstractNumId w:val="1"/>
  </w:num>
  <w:num w:numId="2" w16cid:durableId="609168994">
    <w:abstractNumId w:val="0"/>
  </w:num>
  <w:num w:numId="3" w16cid:durableId="1091119065">
    <w:abstractNumId w:val="3"/>
  </w:num>
  <w:num w:numId="4" w16cid:durableId="190475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0E3"/>
    <w:rsid w:val="0019470D"/>
    <w:rsid w:val="001C153D"/>
    <w:rsid w:val="001F18A3"/>
    <w:rsid w:val="002A37D3"/>
    <w:rsid w:val="003056E5"/>
    <w:rsid w:val="0030633A"/>
    <w:rsid w:val="00345091"/>
    <w:rsid w:val="003F61B3"/>
    <w:rsid w:val="004B3C64"/>
    <w:rsid w:val="006A5F61"/>
    <w:rsid w:val="006A6DB0"/>
    <w:rsid w:val="006E7B5E"/>
    <w:rsid w:val="006F2EDF"/>
    <w:rsid w:val="00705A37"/>
    <w:rsid w:val="00731497"/>
    <w:rsid w:val="00734730"/>
    <w:rsid w:val="008F5A60"/>
    <w:rsid w:val="009B5D81"/>
    <w:rsid w:val="00A71A2E"/>
    <w:rsid w:val="00AC57DA"/>
    <w:rsid w:val="00B4469D"/>
    <w:rsid w:val="00B830E3"/>
    <w:rsid w:val="00C657A8"/>
    <w:rsid w:val="00E14E3F"/>
    <w:rsid w:val="00E809A9"/>
    <w:rsid w:val="00EC76D8"/>
    <w:rsid w:val="00F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F792"/>
  <w15:docId w15:val="{BDE1933C-BAA3-4024-853D-0CF62D3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E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30E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4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4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MGN</cp:lastModifiedBy>
  <cp:revision>13</cp:revision>
  <dcterms:created xsi:type="dcterms:W3CDTF">2025-03-01T14:13:00Z</dcterms:created>
  <dcterms:modified xsi:type="dcterms:W3CDTF">2025-03-06T10:56:00Z</dcterms:modified>
</cp:coreProperties>
</file>